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1983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5528" w:right="143" w:firstLine="1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33584939"/>
    </w:p>
    <w:p w14:paraId="5FE46EDC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5528" w:right="143" w:firstLine="1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7DD792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5528" w:right="143" w:firstLine="1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БЕКИТЕМ</w:t>
      </w:r>
    </w:p>
    <w:p w14:paraId="4BC3DA39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Кыргыз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Республикасынын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397A2E9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Саламаттык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сактоо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министрлигинин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алдындагы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Дары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каражаттары</w:t>
      </w:r>
      <w:proofErr w:type="spellEnd"/>
    </w:p>
    <w:p w14:paraId="5B519531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медициналык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буюмдар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департаментинин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D55CC1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директорунун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орун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басары</w:t>
      </w:r>
      <w:proofErr w:type="spellEnd"/>
    </w:p>
    <w:p w14:paraId="0B543DCB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Кысанов Т.А.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</w:t>
      </w:r>
    </w:p>
    <w:p w14:paraId="39D35AE1" w14:textId="77777777" w:rsidR="00B01F65" w:rsidRDefault="00B01F65" w:rsidP="00B01F65">
      <w:pPr>
        <w:framePr w:w="9497" w:h="4009" w:hRule="exact" w:hSpace="181" w:wrap="around" w:vAnchor="text" w:hAnchor="page" w:x="1725" w:y="-585"/>
        <w:spacing w:after="0" w:line="276" w:lineRule="auto"/>
        <w:ind w:left="411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-ж. </w:t>
      </w:r>
    </w:p>
    <w:bookmarkEnd w:id="0"/>
    <w:p w14:paraId="6FEF2F59" w14:textId="77777777" w:rsidR="00B01F65" w:rsidRDefault="00B01F65" w:rsidP="00B01F65">
      <w:pPr>
        <w:spacing w:after="0" w:line="276" w:lineRule="auto"/>
        <w:ind w:right="1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F86EEE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6C47534" w14:textId="77777777" w:rsidR="00B01F65" w:rsidRDefault="00B01F65" w:rsidP="00B01F65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ДАРЫ КАРАЖАТЫН МЕДИЦИНАДА КОЛДОНУУ БОЮНЧА </w:t>
      </w:r>
    </w:p>
    <w:p w14:paraId="19D13671" w14:textId="77777777" w:rsidR="00B01F65" w:rsidRDefault="00B01F65" w:rsidP="00B01F65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НУСКАМА</w:t>
      </w:r>
    </w:p>
    <w:p w14:paraId="0A224BC5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0C17950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57ED77" w14:textId="77777777" w:rsidR="00B01F65" w:rsidRDefault="00B01F65" w:rsidP="00B01F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НЕБУТАМОЛ</w:t>
      </w:r>
    </w:p>
    <w:p w14:paraId="3D3DF4A7" w14:textId="77777777" w:rsidR="00B01F65" w:rsidRDefault="00B01F65" w:rsidP="00B01F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(NEBUTAMOL)</w:t>
      </w:r>
    </w:p>
    <w:p w14:paraId="0CDF7F6A" w14:textId="77777777" w:rsidR="00B01F65" w:rsidRDefault="00B01F65" w:rsidP="00B01F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527C9B1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71706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Соодадагы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аталышы</w:t>
      </w:r>
      <w:proofErr w:type="spellEnd"/>
    </w:p>
    <w:p w14:paraId="24F1146E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НЕБУТАМОЛ</w:t>
      </w:r>
    </w:p>
    <w:p w14:paraId="4FA9759C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(NEBUTAMOL)</w:t>
      </w:r>
    </w:p>
    <w:p w14:paraId="3311BD9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AA3DEA4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Эл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аралык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патенттелбеген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аталышы</w:t>
      </w:r>
      <w:proofErr w:type="spellEnd"/>
    </w:p>
    <w:p w14:paraId="0BA112A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Salbutamol</w:t>
      </w:r>
    </w:p>
    <w:p w14:paraId="3D5602D6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7B7A7F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Курамы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4BB412A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контейнер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төмөнкүлөрдү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камтыйт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63CCC5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таасир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берүүчү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кайра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эсептегенде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 мг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сульфат; </w:t>
      </w:r>
    </w:p>
    <w:p w14:paraId="7578E5F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 мл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төмөнкүлөрдү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камтыйт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3A1C5C27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таасир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берүүчү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кайра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эсептегенде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 мг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сульфат;</w:t>
      </w:r>
    </w:p>
    <w:p w14:paraId="6D080906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көмөкчү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заттар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натрий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хлориди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инъекция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ab/>
      </w:r>
    </w:p>
    <w:p w14:paraId="684F289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</w:p>
    <w:p w14:paraId="3FD5C535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Дарынын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түрү</w:t>
      </w:r>
      <w:proofErr w:type="spellEnd"/>
    </w:p>
    <w:p w14:paraId="06FB689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Ингаляция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эритме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14:paraId="75E8E0CA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14:paraId="0204A776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Сүрөттөмөсү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14:paraId="079919E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Тунук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түссүз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суюктук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1784A4E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6B79397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Фармадарылык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тобу</w:t>
      </w:r>
      <w:proofErr w:type="spellEnd"/>
    </w:p>
    <w:p w14:paraId="5BA5FCB4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жолдорунун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обструктивдүү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препараттар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И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нгаляциялык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импатомиметиктер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Селективд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үү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бета 2-адреностимуляторлор.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9DC7CAE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АТХ коду: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R03АС02.</w:t>
      </w:r>
    </w:p>
    <w:p w14:paraId="6AA7D947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447703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Фармакологиялык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касиеттери</w:t>
      </w:r>
      <w:proofErr w:type="spellEnd"/>
    </w:p>
    <w:p w14:paraId="03A94F7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Фармакодинамикасы</w:t>
      </w:r>
      <w:proofErr w:type="spellEnd"/>
    </w:p>
    <w:p w14:paraId="11596AE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Сальбутамол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-адренорецепторлорунун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селективдүү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агонисти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саналат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Дарылык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дозаларда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жүрөктүн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-адренорецепторлоруна эӊ 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таасиринин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болуусу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бронх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булчундарынын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-адренорецепторлоруна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таасир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берет.</w:t>
      </w:r>
    </w:p>
    <w:p w14:paraId="2E6628DC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y-KG" w:eastAsia="uk-UA"/>
        </w:rPr>
        <w:t>Фармакокинетикасы</w:t>
      </w:r>
    </w:p>
    <w:p w14:paraId="203A41B6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 xml:space="preserve">Куюлган дозанын 10 % дан 20 % га чейинкисин ингаляциялык колдонгондон кийин астыӊкы дем алуу жолдоруна жетет. Калганы кекиртекте калат дагы ошол жерден жутулат. Дем алуу жолдоруна жеткен дозанын бир бөлүгү өпкөнүн ткандарында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 xml:space="preserve">сиңет </w:t>
      </w:r>
      <w:r w:rsidRPr="00C609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 xml:space="preserve">жана кан айланууга барат, бирок өпкөдө зат алмашат. </w:t>
      </w:r>
    </w:p>
    <w:p w14:paraId="75F7A906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 xml:space="preserve">Препараттын таасиринин башталышы ингаляциядан кийин 4-5 минутада пайда болот, таасир берүү узактыгы 4-6 саатты түзөт. </w:t>
      </w:r>
    </w:p>
    <w:p w14:paraId="391C3714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Системал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уу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кан айланууга жеткенден кийин препарат боордо зат алмашат, көбүнчө өзгөрүлбөгөн түрдө бөйрөктөр менен бөлүнүп чыгат жана фенолсульфаттык метаболит түрүндө.</w:t>
      </w:r>
    </w:p>
    <w:p w14:paraId="0A79C353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Кулкун көңдөйүнөн 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тамак сиӊирүү системасына түшкөн препараттын дозасы ашказан-ичеги жолунда сиӊирилет, фенолсульфаттык биригүүгө чейин боордо зат алмашуунун биринчи баскычынан өтөт, андан кийин бөйрөктөр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аркылуу 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бөлүнүп чыгат.</w:t>
      </w:r>
    </w:p>
    <w:p w14:paraId="7C46FE72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</w:t>
      </w:r>
    </w:p>
    <w:p w14:paraId="4A9C5D90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b/>
          <w:iCs/>
          <w:sz w:val="24"/>
          <w:szCs w:val="24"/>
          <w:lang w:val="ky-KG" w:eastAsia="uk-UA"/>
        </w:rPr>
        <w:t xml:space="preserve">Көрсөтмөлөр </w:t>
      </w:r>
    </w:p>
    <w:p w14:paraId="6BBE4AC8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Чоӊдорду жана 4 жаштан башталган балдарды дарылоо. Препарат бронх астмасынын курч кармоолорун тез басууга көрсөтүлгөн, ошондой эле салттык дарылоого реакция бербеген өнөкөт обструктивд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үү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бронхити бар бейтаптарды дарылоого көрсөтүлгөн.</w:t>
      </w:r>
    </w:p>
    <w:p w14:paraId="7E47C2F4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</w:t>
      </w:r>
    </w:p>
    <w:p w14:paraId="220F04DA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y-KG" w:eastAsia="uk-UA"/>
        </w:rPr>
        <w:t>Каршы көрсөтмөлөр</w:t>
      </w:r>
    </w:p>
    <w:p w14:paraId="3539DC90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 xml:space="preserve">Оору 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таржымалында препараттын бардык курам бөлүктөрүнө жогорку сезгичтик. Бирок сальбутамол кан тамыр инъекциясы үчүн эритме формасында жана кээде таблетка жана суппозитор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ий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е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р формасында айына жетпеген төрөттөрдү жүргүзүүдө колдонулат, сальбутамол ингаляция үчүн аэрозол формасында мындай көрсөткүчтөрдө колдонулбайт. Сальбутамолду бойдон түшүү коркунучунда колдонбойт.  </w:t>
      </w:r>
    </w:p>
    <w:p w14:paraId="07CF5117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y-KG" w:eastAsia="uk-UA"/>
        </w:rPr>
      </w:pPr>
      <w:bookmarkStart w:id="1" w:name="_Hlk38043045"/>
    </w:p>
    <w:p w14:paraId="37668B7D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b/>
          <w:sz w:val="24"/>
          <w:szCs w:val="24"/>
          <w:lang w:val="ky-KG" w:eastAsia="uk-UA"/>
        </w:rPr>
        <w:t>Башка дары каражаттары менен өз ара таасири жана өз ара таасирлердин башка түрлөрү</w:t>
      </w:r>
    </w:p>
    <w:p w14:paraId="740213B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Сальбутамолду пропранолол сыяктуу селективдүү эмес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-адреноблокаторлор менен бирге дайындабайт.</w:t>
      </w:r>
    </w:p>
    <w:p w14:paraId="0EBB8DD5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Сальбутамол моноаминоксидаздын ингибиторлору менен дарыланып жаткан бейтаптарга дайындоо үчүн каршы көрсөтүлгөн эмес.</w:t>
      </w:r>
    </w:p>
    <w:p w14:paraId="4C3CCDF7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</w:p>
    <w:p w14:paraId="53B64F4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uk-UA"/>
        </w:rPr>
      </w:pPr>
      <w:r w:rsidRPr="00C6093E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uk-UA"/>
        </w:rPr>
        <w:t>Өзгөчө көрсөтмөлөр</w:t>
      </w:r>
    </w:p>
    <w:p w14:paraId="140D1D42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Небутамолду ингаляция жолу аркылуу ооз аркылуу колдонуу керек жана инъекция же жутуу жолу аркылуу колдонууга болбойт.</w:t>
      </w:r>
    </w:p>
    <w:p w14:paraId="5628301C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lastRenderedPageBreak/>
        <w:t>Колко астмасын дарылоо этаптык программага ылайык жүргүзүлүш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ү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 керек, бейтаптын абалын клиникалык түрдө жана функционалдык өпкө тесттеринин жардамы менен баалоо керек.</w:t>
      </w:r>
    </w:p>
    <w:p w14:paraId="5ECA98C8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Кыска таасир берүүчү ингаляциялык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 w:rsidRPr="00C6093E">
        <w:rPr>
          <w:rFonts w:ascii="Times New Roman" w:eastAsia="Times New Roman" w:hAnsi="Times New Roman" w:cs="Times New Roman"/>
          <w:sz w:val="24"/>
          <w:szCs w:val="24"/>
          <w:vertAlign w:val="subscript"/>
          <w:lang w:val="tr-TR" w:eastAsia="uk-UA"/>
        </w:rPr>
        <w:t>2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-агонист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т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ерди колдонуунун жыштыгынын жогорулашы колко астмасынын көзөмөлүнүн начарлоосунан кабар берет, андыктан бейтаптарга мүмкүн болушунча тезирээк медициналык жардамга кайрылууну эскерт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үү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 керек. Мындай учурда бейтапты дарылоону кайра карап чыгуу керек. </w:t>
      </w:r>
    </w:p>
    <w:p w14:paraId="1D541F1A" w14:textId="6F18721A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Кыска таасир этүүчү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-агонисттерди ашыкча колдонуу негизги оорунун өнүгүшүн жаап-жашырат жана астма көзөмөлүнүн начарлашына өбөлгө түзүшү мүмкүн, бул астманын оор күчөшүнө жана өлүмгө алып келиши мүмкүн.</w:t>
      </w:r>
    </w:p>
    <w:p w14:paraId="3F39F83F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Колко астмасынын агымынын кокусунан жана өрчүүчү начарлоосу кортикостероиддерди колдонууну баштоого жана жогорулатууга муктаж болгон жашоого коркунуч алып келген абал болуп саналат.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Кооптуулук 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тобуна кирген бейтаптарга дем чыгаруунун эӊ жогорку ылдамдыгынын күнүмдүк көзөмөлүн жүргүзүү сунушталат.</w:t>
      </w:r>
    </w:p>
    <w:p w14:paraId="2DF54D86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Үзгүлтүксүз сезгенүүгө каршы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дарылоо 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(мисалы, ингаляциялык кортикостероиддер) дайындалган бейтаптарга сезгенүүгө каршы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препараттарды</w:t>
      </w: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 симптомдор жакшырганда жана алар Небутамолду талап кылбаганда да улантууну сунуштоо керек.</w:t>
      </w:r>
    </w:p>
    <w:p w14:paraId="36ABCFD8" w14:textId="77777777" w:rsidR="00B01F65" w:rsidRPr="00C6093E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 Небутамол препараты менен үйдөн дарыланган бейтаптарга кийинкилер тууралуу эскертүү керек: эгер препараттын таасирдүү дозасы жеӊилдөөнү алып келбесе жана бул жеӊилдөөнүн узактыгы азайса, өз алдынча препараттын дозасын же аны кабыл алуу жыштыгын жогорулатпастан дарыгерге кайрылуу керек.</w:t>
      </w:r>
    </w:p>
    <w:p w14:paraId="785153DA" w14:textId="3293E72D" w:rsidR="00B01F65" w:rsidRPr="00AF2576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</w:pPr>
      <w:r w:rsidRPr="00C6093E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 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Сал</w:t>
      </w:r>
      <w:r w:rsidR="00AF2576"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ь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 xml:space="preserve">бутамолду жумасына эки жолудан ашык “зарылчылыкка жараша” кабыл алган бейтаптар көнүгүү алдындагы 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алдын алуудан 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башка, кайра баалоодон өтүшү керек (мисалы, күндүзгү симптомдорду баалоо, түнкү ойгонуу жана астмадан улам активдүүлүктүн чектөөлөрү) дарылоону жөнгө салуу, анткени бул бейтаптар сал</w:t>
      </w:r>
      <w:r w:rsidR="00AF2576"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ь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бутамолду ашыкча колдонуу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кооптуулугу бар топко кирет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tr-TR" w:eastAsia="uk-UA"/>
        </w:rPr>
        <w:t>.  Симпатомиметиктердин чоӊ дозаларын кабыл алган бейтаптарды дарылоодо Небутамолду этияттык менен колдонушат.</w:t>
      </w:r>
    </w:p>
    <w:p w14:paraId="630ACFD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кошкондо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симпатомиметиктерди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кабыл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-кан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тамыр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тийгизет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Каттоодон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киийинки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изилдөөлөрдүн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жарыяланган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ассоциацияланган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миокарда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ишемиясынын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болуусунун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ырастайт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дарыланып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жаткан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мисалы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жүрөктүн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ишемиялык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аритмия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татаал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жетишсиздиги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оорусунун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курчуусун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ырастай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төштүн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ооруусу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же башка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симптомдор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медициналык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жардамга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кайрылуу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сыяктуу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жыйынтык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кыстыгуу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төш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сыяктуу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симптомдордун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көӊүл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буруу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</w:t>
      </w:r>
    </w:p>
    <w:p w14:paraId="30D4A933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тиреотоксикоз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оорулууларга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этияттык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белгилешет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4B9DC5E" w14:textId="1E5C3661" w:rsidR="00D85CBA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Бир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дозалуу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контейнерлердеги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ипратропиум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бромиддеги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айкалышы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оорулууларды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дарылоодо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кээде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курч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жабык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бурчтуу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глаукоманын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өрчүү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учурлары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байкалган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Ошондуктан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антихолинергиялык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препараттар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контейнерлердеги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айкалышы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небулизация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аркылуу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куюлат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этияттык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препаратты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тиешелүү</w:t>
      </w:r>
      <w:proofErr w:type="spellEnd"/>
      <w:r w:rsidR="000D15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нускамаларды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кабыл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көзгө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себилүүчү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аэрозолдун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тийип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кетүүсүнөн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экендиги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эскертилиш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696BDC8C" w14:textId="7947E43A" w:rsidR="00B01F65" w:rsidRPr="00AF2576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 w:rsidRPr="00AF25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-агонист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т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ери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дарылоонун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жыйынтыгы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татаал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гипокалиемия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болуп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калышы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негизинен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парентералдык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формаларды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же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небулайзерди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колдонууда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байкалат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Курч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татаал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колко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астмасы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бейтаптарга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өзгөчө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көӊүл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бурушат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себеби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гипокалиемия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ксантиндердин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стероиддердин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диуретиктердин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гипоксиянын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дериваттарын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кошо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потенцияланышы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абалда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кандын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сары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суусундагы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калийдин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деӊгээлин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текшерүү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сунушталат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560B7C5B" w14:textId="77777777" w:rsidR="00D85CBA" w:rsidRPr="00AF2576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Башка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ингаляциялык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каражаттарды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колдонгон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сыяктуу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эле дем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кыстыгуунун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күчөшү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парадоксалдык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колко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карышуусу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болушу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дароо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препараттын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альтернативдик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F2576"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түрүн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белгилөө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 же башка тез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берүүчү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ингаляциялык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бронходилататорлорду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белгилөө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Небутамолду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дароо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алып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салуу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зарыл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дайыма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башка тез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берүүчү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бронходилататорлорду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белгилөө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70C3A5D8" w14:textId="77777777" w:rsidR="00D85CBA" w:rsidRPr="00AF2576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β-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адренорецепторлорунун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башка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агонисттери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сыяктуу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эле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Небутамол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арткы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метаболикалык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өзгөрүүлөргө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алып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келиши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мисалы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кандагы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кант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деӊгээлинин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жогорулашына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алып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келиши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69F8CA96" w14:textId="1CBE3DD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өзгөрүүлөрдүн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компенсациясы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кант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диабети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бейтаптарда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ар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дайым</w:t>
      </w:r>
      <w:proofErr w:type="spellEnd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эле </w:t>
      </w:r>
      <w:proofErr w:type="spellStart"/>
      <w:r w:rsidRPr="00AF2576"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бербейт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ошондуктан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кетоацидоздун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өрчүүсү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тууралуу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өзүнчө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Кортикостероиддерди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кабыл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курчутушу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80D3A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тамырга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небулайзер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аркылуу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бронх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астмасы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курчуу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стадиясында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лактоацидоздун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өрчүүсү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тууралуу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маалымдалган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Кыйыр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бөлүмүн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караңыз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Кандагы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лактат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деӊгээлинин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жогорулашы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кыстыгуу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өпкөнүн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компенсатордук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гипервентиляциясын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асматикага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жетишсиз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таасирдүүлүгү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катарында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бааланып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кезегинде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берүүчү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-агонист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интенсификациясына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келиши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Ошондуктан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дын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суусундагы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лактаттын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деӊгээлин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көзөмөлдөө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сунушталат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метаболикалык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ацидоздун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болуусун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көзөмөлдөө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сунушталат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14399F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7731D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Кош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бойлуу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y-KG" w:eastAsia="uk-UA"/>
        </w:rPr>
        <w:t xml:space="preserve">бала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эмизүү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мезгилинде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колдонуу</w:t>
      </w:r>
      <w:proofErr w:type="spellEnd"/>
    </w:p>
    <w:p w14:paraId="5CC0B28A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бойлуу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мезгилинде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күтүлгөн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түйүлдүккө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дайындашат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Каттоодон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кийинки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изилдөөлөрдүн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боюнча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балдарда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бойлуу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мезгилинде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энелерде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таӊдай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жарыгын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колу-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буттардын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майыптыгын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кошкондо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тубаса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аномалиялар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тууралуу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бирин-серин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катталган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аялдардын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кээ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бирөөлөрү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бойлуу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мезгилинде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башка дары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каражаттарын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колдонушкан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аномалиялардын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болуусунун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байланышынын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типтүү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себеби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аныкталган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78E4E5E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сүтүнө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кирүүсү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болгондуктан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күтүлгөн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потенциалдык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кооптуулуктан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эске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албаганда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учурунда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белгилөө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сунушталбайт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сүтүндө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болуусунун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зыян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тийгизээри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белгисиз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</w:t>
      </w:r>
    </w:p>
    <w:p w14:paraId="59615E1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076462F1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y-KG" w:eastAsia="uk-UA"/>
        </w:rPr>
        <w:t>У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ky-KG" w:eastAsia="uk-UA"/>
        </w:rPr>
        <w:t xml:space="preserve"> каражатын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же башка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механизмдерди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башкарууда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реакциянын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ылдамдыгына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таасир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берүү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жөндөмдүүлүгү</w:t>
      </w:r>
      <w:proofErr w:type="spellEnd"/>
    </w:p>
    <w:p w14:paraId="31347A50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тууралуу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маалыматтар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жок. Нерв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тарабынан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кыйыр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итирөө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унаа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 каражатын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башкарууну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башка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механизмдер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иштөөнү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токтотуп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454522D5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1"/>
    <w:p w14:paraId="0856221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дозалар</w:t>
      </w:r>
      <w:proofErr w:type="spellEnd"/>
    </w:p>
    <w:p w14:paraId="6B65B419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Небутамол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препараты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небулайзердин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жардамы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аркылуу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аркылуу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ылайыкталган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дарыгердин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көзөмөлү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астында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</w:t>
      </w:r>
    </w:p>
    <w:p w14:paraId="37BB1FB0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Эритмени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инъекция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аркылуу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куюга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жутуу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болбойт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20BB7F7A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-агонист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астма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агымынын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начарлоосунан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берет.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шарттарда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дарылануу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чыгуу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ылайыктуу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глюкокортикостероиддик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белгилөө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зарылчылыгын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чыгуу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54162B4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Чоӊдор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ошону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катар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улгайып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калган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курактагы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бейтаптар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)</w:t>
      </w:r>
    </w:p>
    <w:p w14:paraId="7188542E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кадимки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баштапкы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2,5 мг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Ал 5 мг 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жогорулатылышы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суткасына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кайталаса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болот.</w:t>
      </w:r>
    </w:p>
    <w:p w14:paraId="16126ACA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жолдорунун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татаал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обструкциясы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бейтаптарды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суткасына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40 мг 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жогорулатылышы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бирок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мындай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дарыгердин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кылдат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көзөмөлү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астында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стационардык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шарттарда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жүргүзүү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5B978772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жаштан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жогорку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курактагы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балдар</w:t>
      </w:r>
      <w:proofErr w:type="spellEnd"/>
    </w:p>
    <w:p w14:paraId="5F3405DE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Чоӊдорго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арналган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сыяктуу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9D1ED3D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жаштан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жашка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чейинки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курактагы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балдар</w:t>
      </w:r>
      <w:proofErr w:type="spellEnd"/>
    </w:p>
    <w:p w14:paraId="358723F6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кадимки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баштапкы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2,5 мг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Ал 5 мг 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жогорулатылышы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суткасына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кайталаса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болот. </w:t>
      </w:r>
    </w:p>
    <w:p w14:paraId="1C7B764D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препараттын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башка дары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түрлөрүн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47762AF5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Небулизация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аркылуу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айга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чейинки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ымыркайларда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колдонуунун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клиникалык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таасирдүүлүгү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аныкталган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B5AE1AE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Транзитордук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гипоксемия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болгондуктан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кошумча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кислороддук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дарылоону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жүргүзүүнүн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зарылдыгын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эске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0890A08A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көбүнчө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эритилбеген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түрдө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колдонот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Бирок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убакыттын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аралыгында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жүргүзүү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мүнөттөн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ашык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контейнердин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курамы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тазаланган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физиологиялык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эритме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аралаштырылышы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F6B76D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Аэрозолдун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ингаляциясы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атайын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мундуштуктун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жардамы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жүргүзүлүшү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Ингаляция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жүргүзүлүп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жаткан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бөлмөдө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мезгил-мезгили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вентиляцияны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жүргүзүп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туруу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Дем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абанын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гиповентиляциясынан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гипоксиянын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өрчүү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кооптуулугу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учурда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кислородко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толтуруу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48BA21F7" w14:textId="77777777" w:rsidR="00B01F65" w:rsidRDefault="00B01F65" w:rsidP="00B01F6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Дозалоону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жогорулатууну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жогорулатууда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кыйыр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тааисрлердин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мүмкүндүгүн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B5EC1B" w14:textId="77777777" w:rsidR="00B01F65" w:rsidRDefault="00B01F65" w:rsidP="00B01F6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Небутамол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препаратын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үчүн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нускама</w:t>
      </w:r>
      <w:proofErr w:type="spellEnd"/>
    </w:p>
    <w:p w14:paraId="092F8674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Небулайзерди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даярдагыла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45BDEB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Баштыкчаны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Эгер зарыл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болбосо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баштыкчадан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чыкпоо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керек.</w:t>
      </w:r>
    </w:p>
    <w:p w14:paraId="3193DFE6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чыккан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Башка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контейнерлерди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өлчөмдүү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баштыкчада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калтыруу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015A64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үстүӊкү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жагына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айлантуу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BF56E04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небулайзерге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коюу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небулайзерге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куюлгандыгына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ныӊыз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8A786E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Небулайзерди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чогултуу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небулайзер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нускамага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ылайык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AD9DF" w14:textId="77777777" w:rsidR="00B01F65" w:rsidRDefault="00B01F65" w:rsidP="00B01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Колдонгондон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небулайзерди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калдыгын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жок кылуу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зарыл.</w:t>
      </w:r>
    </w:p>
    <w:p w14:paraId="54C5058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</w:p>
    <w:p w14:paraId="257294E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Балдар</w:t>
      </w:r>
      <w:proofErr w:type="spellEnd"/>
    </w:p>
    <w:p w14:paraId="37C7B2A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Небутамолду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башталган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дайындайт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31E25EA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6A122A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Ашыкча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дозалоо</w:t>
      </w:r>
      <w:proofErr w:type="spellEnd"/>
    </w:p>
    <w:p w14:paraId="5EBC282E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ашыкча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дозалоонун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өтө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көп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таралган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симптомдору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транзитордук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өзгөрүү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-агонистер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фармакологиялык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индуцирленгендер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саналат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тахикардия,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>титирөө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гипокалиемияны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кошкондо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жогорку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активдүүлүк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метаболикалык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бузулуулар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Колдонуу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өзгөчөлүктөрү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Кыйыр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таасирлер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бөлүмдөрүн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карайбыз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). </w:t>
      </w:r>
    </w:p>
    <w:p w14:paraId="735E5BA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Сальбутамолду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ашыкча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дозалоонун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жыйынтыгында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гипокалиемия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болушу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мүмкүн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ошондуктан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>дын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суусундагы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калийдин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деӊгээлин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текшерип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туруу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зарыл. Жогорку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дарылык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дозаларды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кабыл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алууда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кыска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таасир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берүүчү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-агонист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ашыкча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дозалоодо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лактатацидоз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учурлары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тууралуу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маалымдалган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ошондуктан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>дын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суусундагы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лактаттын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деӊгээлин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текшерип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туруу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керек.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Метаболикалык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ацидозду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көзөмөлдөп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туруу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өзгөчө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колко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карышуусунун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симптомдорунун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жакшыруусуна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карабастан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күчө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uk-UA"/>
        </w:rPr>
        <w:t xml:space="preserve">гөн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туруктуу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тездеген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учурларында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5EFFC6E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2B3AFB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Кыйыр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таасирлер</w:t>
      </w:r>
      <w:proofErr w:type="spellEnd"/>
    </w:p>
    <w:p w14:paraId="226A1D89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Төмөндө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келтирилген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кыйыр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таасирлер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ылайык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классификацияланган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төмөндөгүдөй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тез- тез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1/10), тез-тез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3C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1/10), тез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3C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1/10 000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3C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1/1000),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3C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1/10 000),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бириндеген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учурларды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кошкондо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Жалпысынан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тез-тез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тез-тез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кыйыр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таасирлер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изилдөөлөрдүн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аныкталат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белгисиз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аныкталат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BFBE0DE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Иммундук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8EE8527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сезгичтик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анын ичинде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ангионевротикалык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бөрү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бронхспазм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гипотензия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коллапс.</w:t>
      </w:r>
    </w:p>
    <w:p w14:paraId="21772793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алмашуу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метаболизм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7335F649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гипокалиемия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гипокалиемия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-агонистт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дарылоонун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жыйынтыгы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8363E16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белгисиз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лактоацидоз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өзгөчөлүктөрү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бөлүмүн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караңыз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Неврологиялык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бузулуулар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F8BDAA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Тез-тез: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титирөө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90FD5A" w14:textId="77777777" w:rsidR="00B01F65" w:rsidRDefault="00B01F65" w:rsidP="00B01F6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активдүүлүк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5409F6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Кардиалдык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бузулуулар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C0EF8E8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Тез-тез: тахикардия.</w:t>
      </w:r>
    </w:p>
    <w:p w14:paraId="456FD49E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Тез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жүрөктүн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тез-тез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согушу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3C804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жүрөк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бузулушу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анын ичинде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карынчалардын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диртилдөөсү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суправентрикулярдык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тахикардия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экстрасистолия.</w:t>
      </w:r>
    </w:p>
    <w:p w14:paraId="2212C7B7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белгисиз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миокарда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өзгөчөлүктөрү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бөлүмүн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караңыз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58484B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болгондуктан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каттоодон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жыштыгы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аныкталган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E4DE31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Кан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тамырлар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22CB29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перифериялык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вазодилатация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CD8023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алуу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көкүрөк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клеткаларынын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органдары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ортоӊку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аралык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бузулуулар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1B99AA6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парадоксалдык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карышуусу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6ECDA3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Ашказан-ичеги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жолу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DD3BF4E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Тез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көӊдөйүнүн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кекиртектин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былжыр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челдеринин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дүүлүгүүсү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F5EEC0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Кыймыл-таяныч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аппараты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бириктирүү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тарабынан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7928AF5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Тез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карышуулары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9C9E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2F4326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Шектүү жагымсыз реакциялар жөнүндө маалымат</w:t>
      </w:r>
    </w:p>
    <w:p w14:paraId="4D3DB6A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Шектелген жагымсыз реакциялар тууралуу дары препаратынын «пайда-кооптуулук» теңдемине үзгүлтүксүз мониторинг жүргүзүү, дары каражатын каттоодон өткөндөн кийин кабарлоо маанилүү. Медицина кызматкерлерине Кыргыз Республикасынын Жагымсыз реакциялар жөнүндө улуттук маалымат системасы аркылуу ар кандай шектүү жагымсыз реакциялар жөнүндө билдирүү сунушталат:</w:t>
      </w:r>
    </w:p>
    <w:p w14:paraId="5395622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Саламаттык сактоо министрлигин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каражаттары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жана медициналык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буюмдар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департаменти</w:t>
      </w:r>
    </w:p>
    <w:p w14:paraId="24E3A6E6" w14:textId="77777777" w:rsidR="00B01F65" w:rsidRPr="008E106D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106D">
        <w:fldChar w:fldCharType="begin"/>
      </w:r>
      <w:r w:rsidRPr="008E106D">
        <w:rPr>
          <w:lang w:val="ky-KG"/>
        </w:rPr>
        <w:instrText>HYPERLINK "http://www.pharm.kg"</w:instrText>
      </w:r>
      <w:r w:rsidRPr="008E106D">
        <w:fldChar w:fldCharType="separate"/>
      </w:r>
      <w:r w:rsidRPr="008E106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ky-KG" w:eastAsia="ru-RU"/>
        </w:rPr>
        <w:t>http://www.pharm.kg</w:t>
      </w:r>
      <w:r w:rsidRPr="008E106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ky-KG" w:eastAsia="ru-RU"/>
        </w:rPr>
        <w:fldChar w:fldCharType="end"/>
      </w:r>
    </w:p>
    <w:p w14:paraId="4C867D87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106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Мындан сырткары маалыматты электрондук дарек аркылуу жөнөтүүгө болот </w:t>
      </w:r>
      <w:r w:rsidRPr="008E106D">
        <w:fldChar w:fldCharType="begin"/>
      </w:r>
      <w:r w:rsidRPr="008E106D">
        <w:rPr>
          <w:lang w:val="ky-KG"/>
        </w:rPr>
        <w:instrText>HYPERLINK "mailto:asia.kppv@uf.ua"</w:instrText>
      </w:r>
      <w:r w:rsidRPr="008E106D">
        <w:fldChar w:fldCharType="separate"/>
      </w:r>
      <w:r w:rsidRPr="008E106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ky-KG" w:eastAsia="ru-RU"/>
        </w:rPr>
        <w:t>asia.kppv@uf.ua</w:t>
      </w:r>
      <w:r w:rsidRPr="008E106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ky-KG" w:eastAsia="ru-RU"/>
        </w:rPr>
        <w:fldChar w:fldCharType="end"/>
      </w:r>
      <w:r w:rsidRPr="008E106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же төмөнк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ү телефон аркылуу кайрылса болот: +996 550 740402. </w:t>
      </w:r>
    </w:p>
    <w:p w14:paraId="5E8A71D1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3D4D9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uk-UA" w:eastAsia="uk-UA"/>
        </w:rPr>
      </w:pPr>
      <w:bookmarkStart w:id="2" w:name="_Hlk38044462"/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uk-UA" w:eastAsia="uk-UA"/>
        </w:rPr>
        <w:t>Жарактуулук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uk-UA" w:eastAsia="uk-UA"/>
        </w:rPr>
        <w:t>мөөнөтү</w:t>
      </w:r>
      <w:proofErr w:type="spellEnd"/>
    </w:p>
    <w:p w14:paraId="4AD6A4E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жыл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 </w:t>
      </w:r>
    </w:p>
    <w:p w14:paraId="2781D05F" w14:textId="77777777" w:rsidR="00B01F65" w:rsidRDefault="00B01F65" w:rsidP="00B01F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жука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кабыктан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жасалган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баштыкчаны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ачкандан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кийин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 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колдонууга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A239E2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bookmarkEnd w:id="2"/>
    <w:p w14:paraId="03784A78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Сактоо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шарты</w:t>
      </w:r>
      <w:proofErr w:type="spellEnd"/>
    </w:p>
    <w:p w14:paraId="38CD8575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 °С дан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жогору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жетпеген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жерде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сактоо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 </w:t>
      </w:r>
    </w:p>
    <w:p w14:paraId="3F85A542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Тоӊдурууга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күндүн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түз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нурунун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таасирине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бербөө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керек.</w:t>
      </w:r>
    </w:p>
    <w:p w14:paraId="0521A0F5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6289185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Таӊгакчасы</w:t>
      </w:r>
      <w:proofErr w:type="spellEnd"/>
    </w:p>
    <w:p w14:paraId="0D639634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 мл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. ден 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полимер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контейнерлерде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контейнерден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олимер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жука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челден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жасалган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баштыкчаларда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uk-UA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баштыкчадан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картон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кутуга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салынат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4085F82C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E8E7B0F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Берүү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шарты</w:t>
      </w:r>
      <w:proofErr w:type="spellEnd"/>
    </w:p>
    <w:p w14:paraId="76BD0E27" w14:textId="0D004BD9" w:rsidR="00B01F65" w:rsidRP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Рецепт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боюнча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DD4ECB9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C8A471A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Өндүрүүчү</w:t>
      </w:r>
      <w:proofErr w:type="spellEnd"/>
    </w:p>
    <w:p w14:paraId="5FD69EBD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«Юрий-Фарм» ЖЧК</w:t>
      </w:r>
    </w:p>
    <w:p w14:paraId="4794A0E3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BECF158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Өндүрүүчүнүн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жайгашкан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орду</w:t>
      </w:r>
    </w:p>
    <w:p w14:paraId="3BF37E62" w14:textId="77777777" w:rsidR="00B01F65" w:rsidRDefault="00B01F65" w:rsidP="00B01F65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Украина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18030,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Черкассы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обл.,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Черкассы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Кобзарь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көч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., 108. </w:t>
      </w:r>
    </w:p>
    <w:p w14:paraId="07443F09" w14:textId="77777777" w:rsidR="00B01F65" w:rsidRDefault="00B01F65" w:rsidP="00B01F65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Тел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.: +38 (044) 281-01-01.</w:t>
      </w:r>
    </w:p>
    <w:p w14:paraId="6032F00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2FC38B" w14:textId="77777777" w:rsidR="00B01F65" w:rsidRDefault="00B01F65" w:rsidP="00B01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D7467" w14:textId="77777777" w:rsidR="00B01F65" w:rsidRDefault="00B01F65" w:rsidP="00B01F65">
      <w:pPr>
        <w:spacing w:line="276" w:lineRule="auto"/>
        <w:rPr>
          <w:sz w:val="24"/>
          <w:szCs w:val="24"/>
        </w:rPr>
      </w:pPr>
    </w:p>
    <w:p w14:paraId="6D732524" w14:textId="77777777" w:rsidR="00BE3731" w:rsidRDefault="00BE3731" w:rsidP="00B01F65">
      <w:pPr>
        <w:spacing w:line="276" w:lineRule="auto"/>
      </w:pPr>
    </w:p>
    <w:sectPr w:rsidR="00BE3731" w:rsidSect="00B01F65">
      <w:pgSz w:w="11906" w:h="16838"/>
      <w:pgMar w:top="127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5D8E"/>
    <w:multiLevelType w:val="hybridMultilevel"/>
    <w:tmpl w:val="1D78CD26"/>
    <w:lvl w:ilvl="0" w:tplc="DDE8A34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62439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60"/>
    <w:rsid w:val="000D15E5"/>
    <w:rsid w:val="000E45EF"/>
    <w:rsid w:val="00165BD0"/>
    <w:rsid w:val="00227E90"/>
    <w:rsid w:val="00633760"/>
    <w:rsid w:val="00755EAA"/>
    <w:rsid w:val="00891B76"/>
    <w:rsid w:val="008E106D"/>
    <w:rsid w:val="00AF2576"/>
    <w:rsid w:val="00B01F65"/>
    <w:rsid w:val="00BE3731"/>
    <w:rsid w:val="00C6093E"/>
    <w:rsid w:val="00D118EF"/>
    <w:rsid w:val="00D85CBA"/>
    <w:rsid w:val="00F6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8045"/>
  <w15:chartTrackingRefBased/>
  <w15:docId w15:val="{067B3A86-5FB7-492D-BBE1-D9DB8FB1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29180-fa48-471e-b808-158ece211a10" xsi:nil="true"/>
    <lcf76f155ced4ddcb4097134ff3c332f xmlns="242124d5-8bc9-4a62-8e49-84e504145a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50D12BFA1CA41952EC166BA4AE7F1" ma:contentTypeVersion="18" ma:contentTypeDescription="Create a new document." ma:contentTypeScope="" ma:versionID="b4045f7bb203d42e1e9ffd30fe92b078">
  <xsd:schema xmlns:xsd="http://www.w3.org/2001/XMLSchema" xmlns:xs="http://www.w3.org/2001/XMLSchema" xmlns:p="http://schemas.microsoft.com/office/2006/metadata/properties" xmlns:ns2="242124d5-8bc9-4a62-8e49-84e504145a22" xmlns:ns3="6c429180-fa48-471e-b808-158ece211a10" targetNamespace="http://schemas.microsoft.com/office/2006/metadata/properties" ma:root="true" ma:fieldsID="46c7d285a7ef9cf225d4df92220662cd" ns2:_="" ns3:_="">
    <xsd:import namespace="242124d5-8bc9-4a62-8e49-84e504145a22"/>
    <xsd:import namespace="6c429180-fa48-471e-b808-158ece211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124d5-8bc9-4a62-8e49-84e504145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01c442-fd80-4bbc-b116-a2dcea1e6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29180-fa48-471e-b808-158ece211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7829e-cfa2-4d48-bd54-c604fcf06a3e}" ma:internalName="TaxCatchAll" ma:showField="CatchAllData" ma:web="6c429180-fa48-471e-b808-158ece21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A9E8D-DF94-4661-881E-1E39CCE62AE0}">
  <ds:schemaRefs>
    <ds:schemaRef ds:uri="http://schemas.microsoft.com/office/2006/metadata/properties"/>
    <ds:schemaRef ds:uri="http://schemas.microsoft.com/office/infopath/2007/PartnerControls"/>
    <ds:schemaRef ds:uri="6c429180-fa48-471e-b808-158ece211a10"/>
    <ds:schemaRef ds:uri="242124d5-8bc9-4a62-8e49-84e504145a22"/>
  </ds:schemaRefs>
</ds:datastoreItem>
</file>

<file path=customXml/itemProps2.xml><?xml version="1.0" encoding="utf-8"?>
<ds:datastoreItem xmlns:ds="http://schemas.openxmlformats.org/officeDocument/2006/customXml" ds:itemID="{A1DB5024-20B7-4C32-8000-12CF2693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88399-E6C3-4D42-B392-6E2223AF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124d5-8bc9-4a62-8e49-84e504145a22"/>
    <ds:schemaRef ds:uri="6c429180-fa48-471e-b808-158ece21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10710</Words>
  <Characters>6106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Izdebska(Zarovna)</cp:lastModifiedBy>
  <cp:revision>8</cp:revision>
  <cp:lastPrinted>2024-12-16T08:43:00Z</cp:lastPrinted>
  <dcterms:created xsi:type="dcterms:W3CDTF">2024-12-16T08:40:00Z</dcterms:created>
  <dcterms:modified xsi:type="dcterms:W3CDTF">2024-12-20T12:51:00Z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0x01010074150D12BFA1CA41952EC166BA4AE7F1</vt:lpwstr>
  </property>
  <property fmtid="{D5CDD505-2E9C-101B-9397-08002B2CF9AE}" pid="3" name="MediaServiceImageTags">
    <vt:lpwstr/>
  </property>
</Properties>
</file>